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Early identification and treatment of obesity are critical in preventing severe health outcomes associated with the condition. Recognizing genetic predispositions early on allows for the implementation of personalized interventions tailored to an individual's unique genetic makeup (Ref-s607721). Targeted strategies, such as gene-based dietary recommendations and lifestyle modifications, can be initiated to mitigate the risk of developing obesity-related complications before they manifest. Moreover, early intervention can enhance the effectiveness of treatment by addressing the root causes of obesity, such as genetic factors, thereby reducing the likelihood of persistent weight gain (Ref-s607721). This proactive approach not only improves individual health outcomes but also alleviates the broader societal burden of obesity-related healthcare costs, emphasizing the importance of integrating genetic screening into routine healthcare practices.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