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Ephesians 4:1-6 provides a vital biblical foundation for understanding the concept of unity within Dietrich Bonhoeffer's theological framework. This passage underscores the importance of living a life worthy of one's calling, characterized by humility, gentleness, and patience, while emphasizing the unity of the Spirit in the bond of peace. Bonhoeffer's theological reflections resonate with this scriptural call for unity, as he advocates for a Christian community that transcends denominational and institutional barriers, fostering a cohesive body of believers committed to shared ethical imperatives (Ref-u698132). His vision for "religionless Christianity" aligns with Ephesians' appeal for maintaining unity through a common commitment to core Christian values and principles. By integrating this biblical perspective, Bonhoeffer's work highlights the necessity of unity in the church, ensuring that diverse expressions of faith collectively contribute to the realization of justice and compassion in the world (Ref-u698132).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