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Key ethical principles play a pivotal role in guiding decision-making processes within the context of educational malpractice cases. One fundamental principle is beneficence, which emphasizes the importance of promoting well-being and minimizing harm to students, thereby influencing the development of supportive and challenging educational environments (Ref-u984161). Additionally, the principle of justice requires educators to provide equitable opportunities for all students, ensuring that pedagogical strategies do not disproportionately disadvantage any group. Autonomy, another critical principle, underlines the necessity of respecting students' rights to make informed decisions about their education, necessitating transparency and fairness in curricular design. These principles collectively inform ethical decision-making by establishing a framework that prioritizes student welfare while upholding academic integrity, thereby providing a structured approach to resolving conflicts that arise in complex educational settings.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