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To enhance Sequoia Rain Song's peripheral tissue perfusion, a comprehensive intervention plan focusing on physical and lifestyle modifications is essential. Engaging in regular leg exercises can significantly improve circulation, reducing the risk of ischemic events and promoting vascular health (Ref-u624638). Incorporating compression therapy can further aid in managing symptoms of diminished circulation by enhancing venous return and preventing edema. In addition to physical interventions, dietary adjustments aimed at reducing saturated fat intake can decrease cholesterol levels, thereby minimizing arterial plaque formation and supporting overall circulatory function (Ref-u624638). The anticipated outcomes of these interventions include improved blood flow, reduced symptoms of peripheral vascular insufficiency, and enhanced cardiovascular health, contributing to Sequoia's long-term well-being and quality of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