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emphasis on a balanced approach to web monitoring in the U.S. aligns well with the cultural emphasis on privacy rights, as highlighted in my initial post. This approach not only supports organizational security but also fosters a trusting work environment by respecting personal boundaries. While your point about the stringent monitoring in countries like China and North Korea is accurate, it raises ethical questions about the potential loss of privacy rights due to governmental oversight. According to Tursunbayeva et al. (Ref-u667552), these practices can complicate the ethical landscape by prioritizing security over privacy, challenging organizations to ethically justify their monitoring practices. It would be interesting to explore how multinational companies can maintain consistent ethical standards across different countries while adapting to local legal requirements, and I invite you to consider this challenge in your leadership perspective.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