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debate over memorials and monuments involves a diverse array of stakeholders, each with distinct positions and interests. Government entities often play a central role, as they are responsible for the preservation or removal of these structures, and they must navigate public opinion and historical integrity (Ref-f594763). Cultural heritage organizations and historians typically advocate for preserving monuments, emphasizing their educational value and the importance of maintaining historical continuity. Conversely, social justice groups and marginalized communities frequently call for the removal or reinterpretation of monuments that memorialize oppressive figures, arguing that these structures perpetuate harm and historical exclusion (Ref-f594763). Additionally, the general public is divided, with some individuals viewing monuments as essential to cultural identity, while others see them as offensive relics of an unjust past, illustrating the complex tensions that underpin this ongoing debate.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