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evaluating Draper's criticism of Craig's causal principle, it is crucial to consider Craig's counterarguments presented in his Week 2 reading. Craig argues that the causal principle remains robust because it is grounded in both philosophical reasoning and empirical evidence, which collectively support the idea that everything that begins to exist must have a cause. He counters Draper's skepticism by emphasizing that even if our understanding of time and causation is incomplete, the principle itself is not invalidated. According to Craig, alternative interpretations of cosmological phenomena do not necessarily provide defeaters for the causal principle but rather reflect our limited comprehension of complex cosmological dynamics (Ref-u180631). This approach, supported by lecture content, reinforces the notion that while Draper's critique highlights important considerations, Craig's responses effectively address these challenges by affirming the foundational aspects of the cosmological argument and its underlying causal principle.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