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Crafting ethical persuasive messages for both interpersonal communication and media campaigns involves shared ethical principles, such as honesty, respect, and transparency, which are vital for maintaining audience trust. Both contexts require careful consideration of the audience's perceptions and potential reactions to ensure the messages are received as intended (Ref-s503119). In interpersonal communication, the immediacy of feedback allows for real-time adjustments, fostering a dynamic interaction that prioritizes mutual understanding. Conversely, media campaigns must anticipate audience responses across diverse demographics and platforms, necessitating a more strategic approach to message delivery (Ref-s503119). Despite these contextual differences, both approaches aim to craft messages that not only persuade but also uphold ethical standards, thereby ensuring that communication efforts are both effective and morally responsible.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