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Participating in the public iftar also highlighted the practice of zakat, a fundamental pillar of Islam that emphasizes charity and social responsibility. During the event, the collective effort to support those in need demonstrated the practical application of Islamic values in a communal setting. By witnessing firsthand the act of giving and receiving, the experience reinforced the importance of compassion and empathy as central tenets of being a Muslim today. This communal expression of faith through charitable actions provided a tangible connection to the broader Muslim community, reflecting the shared commitment to social welfare and justice. The practice of zakat, as integrated into the public iftar, illustrates how cultural and religious values are lived and expressed in contemporary society, enhancing the understanding of Muslim identity through active engagement and contribution (Ref-f279629).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