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 effectively address the financial perspective within C&amp;KM's balanced scorecard, it is essential to establish criteria that focus on cost reduction and revenue growth targets. Implementing key performance indicators (KPIs) aligned with Industry 4.0 principles can provide the necessary framework for achieving these financial objectives (Ref-s061972). Cost reduction initiatives should include the integration of smart manufacturing technologies, such as IoT and AI, which can optimize resource allocation and minimize inefficiencies in production processes. Additionally, revenue growth can be pursued by enhancing product quality through continuous process improvements, thereby increasing customer satisfaction and market share. By adopting a balanced scorecard approach that incorporates these financial metrics, C&amp;KM will be better positioned to align its operational strategies with overarching business goals, ultimately leading to improved financial performance and competitive advantage in the market (Ref-s061972).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