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futuristic world Alex inhabits is a spectacle of advanced technology and interstellar exploration, where flying cars are as common as bicycles once were, and space colonization is a burgeoning reality. The skyline is punctuated with soaring structures designed to accommodate aerial vehicles, reflecting the society's embrace of vertical expansion. Amidst this technological marvel, Alex finds himself captivated by the boundless possibilities that space colonies offer, nurturing a belief in humanity's potential beyond Earth. However, the pervasive influence of technology also shapes his choices, as he navigates a society where artificial intelligence dictates educational paths and career trajectories. This environment fosters in Alex a sense of ambivalence, where the allure of innovation is tempered by a growing awareness of its implications, echoing broader societal narratives about the interaction between humans and technology (Ref-s818626).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