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 the age of fourteen, I was selected to perform a solo piece at the annual city-wide music festival, an event that profoundly influenced my relationship with classical music. This opportunity required rigorous preparation, demanding countless hours of practice and an unwavering dedication to refining my technique. During this period, I encountered a deeper understanding of perseverance and the realization that true artistry comes from both passion and discipline. The experience of standing on stage, enveloped by the audience's silence and anticipation, instilled a unique sense of confidence and purpose within me. As Nash suggests, such moments of personal narrative allow individuals to express their passions, which in turn resonate deeply with both the self and the community, showcasing the transformative power of music in personal growth (Ref-f846287).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