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conclusion, the arguments in favor of imposing higher taxes on wealthy individuals underscore the potential for these policies to promote economic fairness and societal well-being. Progressive taxation serves as a tool to redistribute wealth more equitably, thereby addressing economic disparities and enhancing public welfare through improved funding for social programs. The societal benefits of such a tax system are further evidenced by the successful implementation in various high-tax economies, which have demonstrated that equitable taxation can coexist with robust economic performance. Moreover, the ethical dimension of taxation highlights the moral responsibility of wealthier individuals to contribute proportionally to societal resources, reflecting a commitment to social responsibility. By aligning tax contributions with the ability to pay, higher taxes on the affluent are not merely a fiscal policy but a broader societal commitment to fostering an inclusive and equitable economic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