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comparative analysis section serves to delineate the contrasting perspectives presented in the New York Times article and the accompanying scholarly literature, elucidating their implications for understanding child maltreatment. The news article vividly portrays the immediate and tangible realities of child abuse, highlighting systemic failures and the dire consequences of underreporting during the pandemic (Ref-f498544). In contrast, the scholarly articles provide a theoretical lens through which these real-world events can be interpreted, offering insights into the predictors of violence and the importance of trauma-informed care (Ref-f498544). By juxtaposing these perspectives, this section seeks to underscore the critical interplay between empirical evidence and theoretical frameworks in crafting effective interventions (Ref-f498544). Ultimately, this analysis reveals how integrating diverse viewpoints can enhance our understanding of violence dynamics and inform more comprehensive strategies for prevention and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