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addition, aligning strategic analysis with organizational goals and objectives is crucial for the coherent development of effective strategies. This alignment ensures that the insights derived from strategic analysis are directly applicable to the organization's overarching aims, thereby facilitating informed and targeted decision-making. By integrating tools like Porter’s Five Forces with the company's specific objectives, organizations can tailor their strategies to address particular industry challenges and opportunities, ensuring a focused approach to market competition (Ref-u896601). Furthermore, the incorporation of digital transformation insights into strategic analysis enables companies to adapt their business models effectively, thereby enhancing competitive advantage in a rapidly evolving market landscape (Ref-u896601). Thus, a strategic analysis that is well-aligned with organizational objectives not only enhances decision-making processes but also fosters a more adaptable and resilient business strategy, essential for sustained success in the global marketplace.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