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historical and structural aspects of science have significantly influenced the trajectory of neuroscience research, particularly in the context of food intake. The development of neuroscience as a discipline has been shaped by an ongoing dialogue between scientific discoveries and philosophical reflections, with each guiding the other in understanding complex biological processes. For instance, the historical emphasis on empirical research has been instrumental in delineating the neural pathways involved in eating behaviors, thus informing studies on conditions like obesity and anorexia nervosa. These structural elements, as noted by Mattson (Ref-f654014), have provided a framework for examining the cognitive processes that underpin food-related decisions and behaviors. Consequently, the integration of philosophical and scientific perspectives continues to enhance our comprehension of how the brain regulates food intake, facilitating a more nuanced exploration of both healthy and pathological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