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Engaging with the Deaf community and learning American Sign Language (ASL) have prompted the adoption of specific behaviors that reflect a more inclusive and respectful understanding of Deaf Culture. One such behavior involves actively listening and valuing the contributions of Deaf individuals by prioritizing their perspectives in discussions and decision-making processes, which aligns with the insights gained from ASL courses (Ref-f633120). Additionally, incorporating ASL into daily interactions where possible fosters an environment of inclusivity and demonstrates a commitment to bridging communication gaps. Understanding the importance of visual cues and body language, as emphasized in the videos, has led to a more mindful approach in interactions, enhancing communication effectiveness. Lastly, advocating for the recognition of Deaf identity within educational and societal contexts remains essential, challenging prevalent misconceptions and promoting a broader appreciation of linguistic diversity as highlighted in "Deaf identities: A maturing framework" (Ref-f633120).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