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Ernst &amp; Young's decision not to rely on AA Capital's internal controls can be evaluated through the lens of audit risk and control effectiveness. The appropriateness of this decision hinges on the auditors' assessment of the reliability and robustness of the internal control system at the time (Ref-u602134). If auditors determine that internal controls are ineffective or inadequately designed, they may choose to perform additional substantive testing rather than rely on these controls. Situations where auditors might opt not to rely on a client's internal controls include cases of significant control deficiencies, prior history of control failures, or when new systems have been recently implemented and are not yet fully tested (Ref-u602134). By eschewing reliance on AA Capital's controls, Ernst &amp; Young aimed to mitigate audit risk through more direct verification methods, although this approach requires a careful balance to manage audit costs and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