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Pathogen recognition receptors (PRRs), including toll-like receptors, play a fundamental role in the host's immune response to Chlamydia trachomatis by identifying pathogen-associated molecular patterns and initiating signaling pathways that result in the production of proinflammatory cytokines (Ref-u928236). These cytokines, such as interleukin-1 and tumor necrosis factor-alpha, recruit immune cells like macrophages and neutrophils to the site of infection, facilitating an inflammatory response aimed at controlling bacterial proliferation. However, the persistent inflammation and immune cell infiltration associated with chlamydial infections can lead to tissue damage and potential complications if left untreated. In females, untreated infections pose a risk of developing pelvic inflammatory disease and subsequent infertility, while males may experience epididymitis, potentially impacting fertility (Ref-u928236). These complications underscore the necessity for timely diagnosis and treatment of Chlamydia infections to prevent long-term reproductive health consequences.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