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directive from the Nuremberg Code that prioritizes voluntary consent is crucial in preventing unethical human experimentation. Weindling highlights this emphasis on consent as a cornerstone of research ethics (Ref-u042326). Historically, the absence of genuine consent has led to unethical practices, such as the Tuskegee Syphilis Study, underscoring the importance of this directive. In contemporary settings, ensuring consent remains a challenge, especially within vulnerable populations who may face coercion. This directive empowers individuals, safeguarding them from unethical practices. Engaging with this principle, one might consider how it could be strengthened globally, perhaps through enhanced regulatory frameworks that ensure transparency and protect participant autonomy in international research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