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Psychological trust and safety are essential components in fostering a learning culture within organizations. A supportive environment enables employees to learn from mistakes, thereby promoting growth and innovation. During our live session, participants shared experiences illustrating that management and leadership play a crucial role in creating such an environment. According to the primary source, leadership styles significantly impact employee experiences and organizational learning, emphasizing the need for a nurturing atmosphere. Additionally, insights from the study on creativity in the banking sector suggest that psychological safety enhances creativity and engagement (Ref-f926661). These findings align with course concepts on continuous learning and innovation, underscoring the importance of an open and trustful workplace for developmental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