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representation of Blackness in 20th-century American music has elicited diverse critical perspectives, reflecting both reverence and scrutiny. Supporters emphasize the empowerment and visibility that Black musicians achieved, arguing that the music served as a crucial medium for articulating racial identity and advocating for social change. However, critics highlight the commercialization of Black music, suggesting that it often led to cultural appropriation and diluted the authenticity of Black musical expressions (Ref-u296519). Some scholars focus on how the dominant media narratives of the time frequently marginalized the contributions of Black artists, framing them within stereotypes that undermined their artistic agency. This duality of perspectives underscores the complex interplay between artistic expression, cultural representation, and the socio-political dynamics that Black musicians navigated, revealing a landscape where music was both a tool of resistance and a subject of commercial exploitation.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