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 forming first impressions of the individuals, distinct schemas and heuristics were applied selectively, influenced by the context and prior experiences. For the individual encountered at the networking event, a professionalism schema was activated, driven by their formal attire and reserved demeanor, which are commonly associated with professional contexts and thus informed the initial impression (Ref-s993903). This heuristic allowed for quick processing of observable traits, streamlining the perception of the individual's professional identity. Conversely, when interacting with the longtime acquaintance, there was a conscious avoidance of relying on simplistic heuristics. Instead, impressions were shaped through a more controlled integration of past interactions and context-specific cues, reflecting an effort to construct a well-rounded understanding beyond superficial traits (Ref-s993903). This approach illustrates how the use or avoidance of schemas and heuristics in first impressions is contingent upon the perceiver's familiarity with the individual and the situational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