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Evaluating the economic feasibility and potential return on investment of proposed healthcare policy changes is crucial for sustaining rural hospitals. Proposals that focus on enhancing financial stability through targeted subsidies and incentives can alleviate the economic pressures faced by these facilities, making them more viable in the long term (Ref-s102657). Investment in modernizing infrastructure and expanding telemedicine services presents opportunities for cost savings and increased patient access, potentially leading to higher patient volumes and improved revenue streams (Ref-s102657). Additionally, fostering partnerships between rural hospitals and larger healthcare systems can optimize resource utilization and reduce operational costs, further enhancing economic sustainability (Ref-s102657). These strategies not only promise a favorable return on investment by stabilizing rural healthcare facilities but also contribute to wider economic benefits, such as job preservation and community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