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Implementing educational reform is fraught with challenges, primarily due to entrenched institutional practices and resistance from stakeholders. One significant barrier is the reluctance of educators to adopt new curricula and pedagogical methods, often due to insufficient training and resources (Ref-s112000). This resistance can be compounded by inadequate financial support, which limits the ability of schools to acquire necessary materials and technologies essential for reform initiatives. Furthermore, the lack of clear communication and collaboration among policymakers, educators, and community stakeholders often leads to misaligned objectives and ineffective implementation strategies (Ref-s112000). Addressing these obstacles requires a multifaceted approach that includes comprehensive professional development, strategic resource allocation, and the fostering of a collaborative environment to ensure successful and sustainable educational reform (Ref-s112000).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