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current treatments for Gender Dysphoria present significant complexities and risks, particularly concerning minors. These treatments, which often include hormone therapy and surgical interventions, are fraught with concerns about long-term safety and efficacy. For minors, the irreversible nature of some interventions poses ethical dilemmas and necessitates a careful consideration of the individual's maturity and capacity to consent (Ref-u694628). Additionally, the lack of comprehensive research on the outcomes of such treatments for young individuals complicates the decision-making process for both healthcare providers and families. It is imperative to address these challenges by prioritizing the development of treatment protocols that balance the psychological needs of minors with a cautious approach to medical interventions, ensuring that decisions are made in the best interest of the young patient while safeguarding their future well-being (Ref-u694628).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