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Furthermore, the accessibility of computer-aided detection (CAD) systems in healthcare is influenced by several factors, which can present barriers across different settings and demographics. Smaller healthcare facilities may face challenges in adopting CAD technology due to the substantial financial investment required for advanced hardware and software, as well as ongoing maintenance costs (Ref-f742488). This financial burden can limit the implementation of CAD systems in underfunded or rural hospitals, potentially exacerbating healthcare disparities. Additionally, demographic factors such as age and education level can affect the adoption and effective use of CAD technology, as older practitioners or those with limited access to training may struggle to integrate these systems into their practice (Ref-f742488). Addressing these accessibility issues is crucial to ensure that the benefits of CAD technology—such as improved diagnostic accuracy and patient safety—are equitably distributed across all healthcare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