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Schein’s Three-Level Model offers a structured approach to understanding the cultural disparities between U.S. and Thai societies by examining underlying assumptions, values, and observable artifacts. At the level of basic assumptions, U.S. culture often prioritizes individualism and autonomy, whereas Thai culture places a strong emphasis on community and interconnectedness, which influences behavior in both personal and professional contexts (Ref-s600421). Values, as the second level, further highlight distinctions; Americans typically value assertiveness and direct communication, while Thais often prefer harmony and indirectness, aligning with their hierarchical societal structure. Artifacts, the most visible cultural elements, also differ markedly; for instance, American workplaces frequently feature open-plan offices to promote collaboration, whereas Thai workplaces may display symbols of respect for authority, such as formal office layouts. Understanding these levels through Schein’s model provides deeper insights into how these cultural differences manifest and affect interactions within diverse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