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stroke remains a significant medical condition with profound implications for individuals and healthcare systems worldwide. The early identification of stroke symptoms, such as sudden numbness, confusion, and dizziness, is vital for timely intervention and improved outcomes. Understanding the risk factors, including hypertension, diabetes, and lifestyle choices, is essential for developing targeted prevention strategies. Effective management of stroke involves addressing inflammation, utilizing thrombolytic therapy, and implementing comprehensive rehabilitation programs to support recovery. Future research should focus on refining treatment protocols and exploring novel therapeutic approaches, while public health initiatives should aim to enhance awareness and encourage lifestyle modifications to reduce stroke incidence.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