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Environmental factors significantly shape the development of homosexuality and ADHD, as evidenced by numerous studies emphasizing the role of upbringing and experiences. Research indicates that childhood environments, including familial attitudes and societal norms, can influence sexual orientation, potentially affecting an individual's self-identification and expression of homosexuality (Ref-f718968). Furthermore, ADHD is often exacerbated by environmental stressors, such as exposure to inconsistent parenting styles and educational settings that lack structure and support, which can influence symptom severity and management (Ref-f718968). These findings underscore the impact of nurturing factors, illustrating how external influences can mold developmental outcomes and behavioral patterns. Collectively, these studies highlight the necessity of considering both biological and environmental contributions, as the interplay between these elements is crucial for a comprehensive understanding of the development of homosexuality and ADHD.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