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selection of the article "Effect of heat pre-conditioning on recovery following exercise-induced muscle damage" is predicated upon its detailed exploration of innovative recovery strategies, a critical aspect in the domain of conditioning and recovery (Ref-u979017). This study is particularly salient as it addresses the attenuation of strength loss through heat pre-conditioning, offering a novel approach that could be transformative in managing exercise-induced muscle damage. Within the context of current research, this article's focus on microvascular function and muscle soreness provides a comprehensive understanding of the physiological benefits associated with heat-based interventions. Concurrently, the investigation into Gaelic football players underscores the importance of physical conditioning in minimizing performance attenuation and expediting recovery, reinforcing the necessity for strategic fitness development (Ref-u979017). Together, these studies elucidate pivotal methodologies that can be integrated into athletic training programs, advancing the field of exercise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