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black market trade in human organs is undeniably a consequence of systemic failures within legal organ donation systems. Primarily, the persistent demand-supply imbalance, compounded by inadequate legal frameworks and ineffective enforcement, has facilitated the growth of this illicit trade (Ref-f975973). Despite international efforts, legal systems have struggled to keep pace with the sophisticated operations of organ traffickers, who exploit technological advancements such as the dark web to conduct transactions anonymously (Ref-f975973). This anonymity, coupled with the use of cryptocurrencies to obscure financial trails, highlights the limitations of current regulatory measures designed to combat organ trafficking. The societal consequences of these systemic failures are profound, undermining public trust in medical institutions and perpetuating cycles of poverty and exploitation among vulnerable populations. Addressing these systemic deficiencies is crucial to curbing the black market trade, requiring a multifaceted approach that strengthens both the legal organ donation infrastructure and the enforcement of anti-trafficking laws.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