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effectiveness of state-level gun regulations in curtailing firearm-related violence while respecting constitutional rights is a critical area of study. Research indicates that states with comprehensive firearm laws experience lower rates of gun-related deaths, as these regulations effectively mitigate the risks associated with firearm access (Ref-f502121). For instance, child-access prevention laws have demonstrated a significant impact, reducing overall firearm mortality by approximately 6% (Ref-f502121). Conversely, permissive laws, such as stand-your-ground statutes, correlate with an increase in firearm homicides, highlighting the complex relationship between legislation and gun violence outcomes (Ref-f502121). Moreover, the influence of neighboring states' firearm policies is notable, as weaker laws in adjacent areas can undermine the effectiveness of stronger state regulations, thereby necessitating coordinated legislative efforts to optimize outcomes (Ref-f502121).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