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economic factors play a crucial role in shaping the educational experiences and attainment of both white and non-white students, often amplifying existing disparities in funding and access to quality education. Predominantly, schools in affluent white neighborhoods benefit from higher property tax revenues, allowing them to maintain superior educational resources and facilities. In contrast, schools in economically disadvantaged areas, often serving minority populations, face chronic underfunding, limiting their ability to provide similar educational opportunities (Ref-f432045). This disparity is compounded by the broader economic inequalities that disproportionately affect Black Americans, as highlighted by Hardy and Logan, who note that Black families have a median net worth significantly lower than that of their white counterparts, thereby limiting educational support at home and access to extracurricular learning opportunities (Ref-f432045). Consequently, these economic disparities contribute to the perpetuation of educational inequities, reinforcing the cycle of disadvantage across generations and underscoring the need for targeted policy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