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Furthermore, adherence to governmental regulations and internal policies is crucial for the successful implementation of this organizational change within ambulatory care. The proposal must align with existing healthcare regulations, such as those governing ambulatory surgical centers, to ensure compliance and facilitate strategic planning (Ref-u060287). Additionally, Medicare policies, particularly those influencing access and quality of care, significantly impact ambulatory services. For instance, disparities in access and quality have been noted among minority Medicare beneficiaries, necessitating the development and implementation of equity measures by the Centers for Medicare &amp; Medicaid Services (CMS) to address these gaps (Ref-u060287). Internally, the organization must also establish policies that support equitable access to care, ensuring that all patients benefit equally from the proposed changes and that the organization remains compliant with both federal and state laws.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