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Initiatives such as mentorship programs, diversity scholarships, and institutional policies have been implemented to mitigate the challenges faced by underrepresented minority students in STEM fields. Mentorship programs play a crucial role by providing tailored guidance and support that addresses the unique needs of these students, as they navigate academic and professional challenges (Ref-f466857). The effectiveness of mentoring is evident in its ability to dismantle systemic barriers, offering resources and opportunities that promote equity and inclusion. Similarly, diversity scholarships aim to alleviate financial burdens, enabling greater access to essential educational resources. Comprehensive programs like Operation STEM (OpSTEM) have demonstrated success in narrowing the achievement gap between underrepresented minority students and their peers through targeted support, significantly improving retention and graduation rates (Ref-f466857).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