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Furthermore, the role of education and re-skilling programs is crucial in addressing the employment challenges posed by AI-induced transformations. As AI technologies continue to evolve, there is an urgent need for comprehensive educational frameworks that equip workers with the skills necessary to thrive in an automated economy. These programs should focus on fostering digital literacy, data analytics, and human-machine collaboration, enabling workers to transition into emerging job categories created by AI advancements (Ref-u690649). An emphasis on continuous learning and skill enhancement will not only facilitate workforce adaptability but also help mitigate the widening income disparity exacerbated by automation. Thus, integrating robust education and re-skilling initiatives into national policy agendas is imperative to ensure that all individuals have equitable access to opportunities in the evolving job market (Ref-u690649).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