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Additionally, research into eye contact and proxemics highlights their critical roles as forms of nonverbal communication, influencing interpersonal dynamics significantly. Eye contact, often regarded as a powerful indicator of attention and engagement, can facilitate trust and rapport by signaling interest and understanding in conversations (Ref-s980229). The measurement of eye contact has evolved through methods such as eye-tracking, which offers detailed insights into gaze patterns, although the subjectivity inherent in defining eye contact continues to present challenges (Ref-s980229). Proxemics, which examines the use of space in communication, varies considerably across cultures, affecting how individuals perceive and engage with each other within personal and social boundaries (Ref-s980229). Together, these nonverbal cues underscore the necessity of considering both cultural and contextual factors in communication studies, thereby enriching the understanding of human interactions across diverse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