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Coastal erosion presents a pressing global issue, as shorelines worldwide face relentless retreat due to natural and anthropogenic factors. The process not only threatens habitats and biodiversity but also jeopardizes human infrastructure and economic stability in coastal regions. Climate change serves as a significant accelerant of this phenomenon, primarily through mechanisms such as rising sea levels, increased storm intensity, and altered weather patterns. These changes exacerbate the erosion rates, leading to more frequent and severe coastal damage. Thus, addressing the link between climate change and coastal erosion is essential for developing effective mitigation strategies, demanding immediate and coordinated global action to protect vulnerable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