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However, despite their benefits, microfinance programs face several significant drawbacks that could impede their effectiveness. One major concern is the high interest rates charged by microfinance institutions, which are often necessary to cover operational costs but can burden borrowers and undermine the social mission of these programs (Ref-s919785). Additionally, the dependency created by microfinance services can lead to a cycle where borrowers become reliant on loans without achieving substantial improvements in their living standards (Ref-s919785). Gender-based challenges also persist, as women, who are often the primary beneficiaries of microfinance, may encounter social and cultural barriers that prevent them from fully participating in economic activities (Ref-s919785). These issues highlight the need for a more balanced approach that considers both the financial sustainability of microfinance institutions and the socio-economic empowerment of their clients, ensuring that the programs genuinely contribute to poverty alleviation and economic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