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Consequently, the implementation of group cognitive-behavioral therapy (CBT) has led to notable improvements in inmate well-being and behavior. Participants in group CBT sessions reported a significant reduction in psychological distress, with marked decreases in anxiety and depression levels, thereby enhancing their mental resilience (Ref-u214620). Additionally, the development of robust coping mechanisms allowed inmates to better manage stress and negative emotions, contributing to a more stable psychological state (Ref-u214620). The group setting also fostered a sense of community and mutual support, which mitigated feelings of isolation and hopelessness, ultimately promoting positive behavioral changes through shared experiences and peer interactions (Ref-u214620). These outcomes underscore the efficacy of group CBT as a viable and cost-effective intervention model that not only addresses mental health challenges but also improves overall inmate behavior, aligning with correctional rehabilitation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