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Analyzing the research findings on pollution levels before and after the implementation of green space interventions reveals notable trends in air quality improvement. The data indicates a consistent reduction in PM2.5 concentrations, with urban areas experiencing a 5% decrease in pollutant levels following a 10% increase in green space coverage (Ref-f896685). This correlation underscores the effectiveness of trees and shrubs, which, as per Liang and Gong, exhibit higher pollutant absorption rates compared to grass lawns, with trees like maples and oaks showing a 15-20% greater efficiency in capturing airborne particles (Ref-f896685). Furthermore, these findings highlight the importance of strategic green space design, where densely planted areas significantly enhance air filtration capabilities. Overall, the observed trends affirm the potential of urban green spaces as a viable approach to improving air quality, demonstrating their critical role in urban environmental management and public health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