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Additionally, the implications of digital divides on learning outcomes are profound, as they exacerbate existing educational inequities. Students lacking access to reliable technology or internet face significant hurdles in achieving academic success, which can lead to lower engagement and academic performance compared to their peers (Ref-f976833). Addressing these issues requires targeted interventions that prioritize equitable access to technology and digital literacy training. Institutions could implement loan programs for devices and offer subsidized internet access to mitigate these barriers. Furthermore, developing inclusive digital literacy programs can enhance students' ability to navigate online learning environments effectively, ultimately fostering a more equitable and inclusive educational landscape (Ref-f976833).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