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addition to societal elements, communication styles and language differences significantly impact the formation of a cohesive global organizational culture. Variations in communication can lead to misunderstandings, which may hinder collaboration and trust among international teams. Effective cross-cultural communication necessitates an awareness of both verbal and non-verbal cues that vary across cultural contexts (Ref-f404816). Language barriers can exacerbate these challenges, necessitating the adoption of common corporate languages or the employment of translators to facilitate clear and effective communication. Furthermore, by actively addressing these communication and language disparities, multinational companies can enhance interpersonal connections and operational efficiency, thereby fostering an environment that supports diverse perspectives and drives innovation within the global marketplace (Ref-f404816).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