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contrast, ethical governance practices in Asian countries often reflect cultural values that emphasize collective well-being and harmony. This cultural influence is evident in the philosophical underpinnings of corporate codes of conduct, where Asian corporations frequently incorporate deontological and virtue-based perspectives (Ref-f748354). Such approaches prioritize adherence to ethical duties and the cultivation of virtuous character traits, aligning corporate behavior with broader societal expectations. As a result, governance frameworks in these regions often stress the importance of maintaining social harmony and ensuring that business operations contribute positively to community welfare. This culturally informed approach highlights the necessity for corporations to adapt their governance strategies to reflect local ethical norms, thereby fostering trust and sustainable relationships with stakeholders (Ref-f748354).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