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legal issue in Legal Case 43.2 centers on the validity and scope of administrative searches conducted without a warrant under specific regulatory schemes. In addressing this issue, the applicable rule is derived from established legal precedents and statutory frameworks that permit certain administrative searches, provided they adhere to the criteria of reasonableness under the Fourth Amendment. The court's application of this rule examines whether the search in question aligned with these criteria, considering factors such as the necessity of the search and the regulatory context within which it occurred. Through this analysis, the court concluded that the administrative search was justified and did not infringe upon constitutional protections, thereby upholding the legality of the search. Such a conclusion underscores the delicate balance courts must maintain between regulatory enforcement and individual privacy rights, illustrating the nuanced application of constitutional principles in administrative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