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examining the recent case of financial fraud involving XYZ Corporation, we can clearly identify the three ingredients of the fraud triangle: opportunity, pressure, and rationalization. The company's lack of internal controls provided the opportunity for the CFO to manipulate financial statements over several years (Ref-f402273). Significant personal financial pressure due to lifestyle expenses contributed to the motivation behind the misconduct. Rationalization was evident as the CFO believed inflating profits would eventually stabilize the company's stock value, benefiting all stakeholders. This fraud resulted in a substantial loss in shareholder value and diminished employee trust, highlighting the critical need for robust internal auditing processes. The course material on financial misconduct emphasizes the importance of understanding these elements to prevent similar occurrences.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