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Economic recovery efforts following the Eurozone crisis have played a pivotal role in reshaping the European Union's (EU) foundational narrative. The implementation of recovery strategies, such as the European Stability Mechanism and the Banking Union, aimed to bolster financial stability and restore confidence in the EU's economic governance (Ref-u981232). These initiatives have sought to mitigate the crisis's impact by promoting fiscal solidarity and enhancing the resilience of member states' economies, thereby attempting to realign the EU's narrative with its foundational principles of unity and prosperity. However, the varied success of these measures has highlighted ongoing disparities and has prompted debates over the effectiveness of centralized economic interventions (Ref-u981232). As a result, the EU's foundational myth has been recalibrated to emphasize economic resilience and cooperation, although challenges remain in achieving equitable growth across its diverse membership.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