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Leadership practices wield considerable influence in the management and mitigation of global challenges, particularly in the realms of climate change and pandemic response. The capacity of leaders to effect rapid and effective responses to crises is exemplified by the decisive actions taken during the Covid-19 pandemic, which underscored the necessity of clear and informed leadership (Ref-f121344). In the context of climate change, responsible leadership fosters organizational citizenship behavior for the environment, encouraging employees to engage in sustainable practices through motivation and example (Ref-f121344). Such leadership not only addresses immediate threats but also instills long-term strategic planning and ethical decision-making, essential for navigating complex global issues. By prioritizing these practices, leaders can effectively coordinate efforts across sectors, ultimately contributing to the reduction of environmental and health risks on a global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