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various clinical scenarios, X-ray imaging is preferred due to its practicality and efficiency. For instance, in emergency settings where rapid assessment is crucial, X-rays can provide timely insights into spinal alignment and detect fractures, facilitating immediate medical intervention (Ref-u551230). Additionally, in outpatient clinics where quick decision-making is essential, X-rays serve as a preliminary diagnostic tool, allowing physicians to rule out major spinal issues before considering more advanced imaging modalities. Furthermore, X-ray imaging is beneficial in routine follow-ups for chronic spinal conditions, where detailed imaging is unnecessary, and cost-effectiveness is a priority. These scenarios underscore the role of X-ray imaging as a frontline diagnostic option, particularly when the need for speed and accessibility outweighs the demand for detailed anatomic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